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4A91C7BE" w14:textId="169536AC" w:rsidR="00A160B2" w:rsidRDefault="00B84A87" w:rsidP="006C3150">
            <w:pPr>
              <w:pStyle w:val="Heading1"/>
              <w:outlineLvl w:val="0"/>
            </w:pPr>
            <w:r>
              <w:t xml:space="preserve">Pension </w:t>
            </w:r>
            <w:r w:rsidR="003007D9">
              <w:t>Board</w:t>
            </w:r>
          </w:p>
          <w:p w14:paraId="55A88F66" w14:textId="44D52632" w:rsidR="00A160B2" w:rsidRPr="00A160B2" w:rsidRDefault="00A160B2" w:rsidP="006C3150">
            <w:pPr>
              <w:pStyle w:val="Heading1"/>
              <w:outlineLvl w:val="0"/>
              <w:rPr>
                <w:color w:val="0000FF"/>
                <w:szCs w:val="24"/>
              </w:rPr>
            </w:pP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583E7F54" w:rsidR="00A160B2" w:rsidRDefault="00182849" w:rsidP="006C3150">
            <w:pPr>
              <w:pStyle w:val="Infotext"/>
              <w:rPr>
                <w:rFonts w:cs="Arial"/>
              </w:rPr>
            </w:pPr>
            <w:r>
              <w:rPr>
                <w:rFonts w:cs="Arial"/>
              </w:rPr>
              <w:t>6 October</w:t>
            </w:r>
            <w:r w:rsidR="00B84A87">
              <w:rPr>
                <w:rFonts w:cs="Arial"/>
              </w:rPr>
              <w:t xml:space="preserve"> 2021</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6C9ED0D7" w14:textId="77777777" w:rsidR="00A160B2" w:rsidRDefault="00D56DE2" w:rsidP="006C3150">
            <w:pPr>
              <w:pStyle w:val="Infotext"/>
              <w:rPr>
                <w:rFonts w:cs="Arial"/>
              </w:rPr>
            </w:pPr>
            <w:r>
              <w:rPr>
                <w:rFonts w:cs="Arial"/>
              </w:rPr>
              <w:t>Good Governance Review Update</w:t>
            </w:r>
            <w:r w:rsidR="003007D9">
              <w:rPr>
                <w:rFonts w:cs="Arial"/>
              </w:rPr>
              <w:t xml:space="preserve"> and Implementation</w:t>
            </w:r>
          </w:p>
          <w:p w14:paraId="5914456E" w14:textId="2DB750AD" w:rsidR="00144711" w:rsidRDefault="00144711" w:rsidP="006C3150">
            <w:pPr>
              <w:pStyle w:val="Infotext"/>
              <w:rPr>
                <w:rFonts w:cs="Arial"/>
              </w:rPr>
            </w:pP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63C5F91B" w14:textId="7D0852B4" w:rsidR="00A160B2" w:rsidRDefault="00E2344F" w:rsidP="006C3150">
            <w:pPr>
              <w:pStyle w:val="Infotext"/>
              <w:rPr>
                <w:rFonts w:cs="Arial"/>
              </w:rPr>
            </w:pPr>
            <w:r>
              <w:rPr>
                <w:rFonts w:cs="Arial"/>
              </w:rPr>
              <w:t>Dawn Calvert – Director of Finance and Assurance</w:t>
            </w:r>
          </w:p>
          <w:p w14:paraId="3CF266C9" w14:textId="77777777" w:rsidR="00A160B2" w:rsidRDefault="00A160B2" w:rsidP="006C3150">
            <w:pPr>
              <w:pStyle w:val="Infotext"/>
              <w:rPr>
                <w:rFonts w:cs="Arial"/>
              </w:rPr>
            </w:pP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4E3163FF" w14:textId="4359B5CE" w:rsidR="00A160B2" w:rsidRDefault="00A160B2" w:rsidP="006C3150">
            <w:pPr>
              <w:pStyle w:val="Infotext"/>
              <w:rPr>
                <w:rFonts w:cs="Arial"/>
              </w:rPr>
            </w:pPr>
            <w:r>
              <w:rPr>
                <w:rFonts w:cs="Arial"/>
              </w:rPr>
              <w:t>No</w:t>
            </w:r>
          </w:p>
          <w:p w14:paraId="4C873B59" w14:textId="20851B35" w:rsidR="00A160B2" w:rsidRDefault="00A160B2" w:rsidP="00E2344F">
            <w:pPr>
              <w:pStyle w:val="Infotext"/>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6CD568AC" w14:textId="03A4A40A" w:rsidR="00A160B2" w:rsidRPr="00144711" w:rsidRDefault="00180D94" w:rsidP="006C3150">
            <w:pPr>
              <w:pStyle w:val="Infotext"/>
              <w:rPr>
                <w:bCs/>
              </w:rPr>
            </w:pPr>
            <w:r w:rsidRPr="00144711">
              <w:rPr>
                <w:bCs/>
              </w:rPr>
              <w:t>No</w:t>
            </w:r>
            <w:r w:rsidR="00A80313" w:rsidRPr="00144711">
              <w:rPr>
                <w:bCs/>
              </w:rPr>
              <w:t>t applicable</w:t>
            </w:r>
          </w:p>
        </w:tc>
      </w:tr>
      <w:tr w:rsidR="00A160B2" w14:paraId="7C35C184" w14:textId="77777777" w:rsidTr="007855AE">
        <w:tc>
          <w:tcPr>
            <w:tcW w:w="3388" w:type="dxa"/>
          </w:tcPr>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4C232B02" w14:textId="71D88436" w:rsidR="00D56DE2" w:rsidRPr="00E16F4A" w:rsidRDefault="00D56DE2" w:rsidP="00D56DE2">
            <w:pPr>
              <w:rPr>
                <w:sz w:val="28"/>
                <w:szCs w:val="28"/>
              </w:rPr>
            </w:pPr>
            <w:r w:rsidRPr="00E16F4A">
              <w:rPr>
                <w:sz w:val="28"/>
                <w:szCs w:val="28"/>
              </w:rPr>
              <w:t>None</w:t>
            </w:r>
            <w:r w:rsidR="00310B8D" w:rsidRPr="00E16F4A">
              <w:rPr>
                <w:sz w:val="28"/>
                <w:szCs w:val="28"/>
              </w:rPr>
              <w:t xml:space="preserve"> </w:t>
            </w:r>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7855AE">
        <w:trPr>
          <w:tblHeader/>
        </w:trPr>
        <w:tc>
          <w:tcPr>
            <w:tcW w:w="8309" w:type="dxa"/>
            <w:tcBorders>
              <w:left w:val="nil"/>
              <w:bottom w:val="nil"/>
              <w:right w:val="nil"/>
            </w:tcBorders>
          </w:tcPr>
          <w:p w14:paraId="41297458" w14:textId="7DE10243" w:rsidR="00E2344F" w:rsidRPr="001E6E68" w:rsidRDefault="00D56DE2" w:rsidP="00E2344F">
            <w:pPr>
              <w:jc w:val="both"/>
              <w:rPr>
                <w:rFonts w:cs="Arial"/>
                <w:szCs w:val="24"/>
              </w:rPr>
            </w:pPr>
            <w:r>
              <w:rPr>
                <w:rFonts w:cs="Arial"/>
                <w:szCs w:val="24"/>
                <w:lang w:eastAsia="en-GB"/>
              </w:rPr>
              <w:t xml:space="preserve">Further to the training session held before </w:t>
            </w:r>
            <w:r w:rsidR="00182849">
              <w:rPr>
                <w:rFonts w:cs="Arial"/>
                <w:szCs w:val="24"/>
                <w:lang w:eastAsia="en-GB"/>
              </w:rPr>
              <w:t xml:space="preserve">its previous </w:t>
            </w:r>
            <w:r>
              <w:rPr>
                <w:rFonts w:cs="Arial"/>
                <w:szCs w:val="24"/>
                <w:lang w:eastAsia="en-GB"/>
              </w:rPr>
              <w:t>meeting</w:t>
            </w:r>
            <w:r w:rsidR="00182849">
              <w:rPr>
                <w:rFonts w:cs="Arial"/>
                <w:szCs w:val="24"/>
                <w:lang w:eastAsia="en-GB"/>
              </w:rPr>
              <w:t xml:space="preserve"> in June</w:t>
            </w:r>
            <w:r>
              <w:rPr>
                <w:rFonts w:cs="Arial"/>
                <w:szCs w:val="24"/>
                <w:lang w:eastAsia="en-GB"/>
              </w:rPr>
              <w:t xml:space="preserve">, </w:t>
            </w:r>
            <w:r w:rsidR="00182849">
              <w:rPr>
                <w:rFonts w:cs="Arial"/>
                <w:szCs w:val="24"/>
                <w:lang w:eastAsia="en-GB"/>
              </w:rPr>
              <w:t xml:space="preserve">on 13 September 2021 </w:t>
            </w:r>
            <w:r w:rsidR="003007D9">
              <w:rPr>
                <w:rFonts w:cs="Arial"/>
                <w:szCs w:val="24"/>
                <w:lang w:eastAsia="en-GB"/>
              </w:rPr>
              <w:t>the</w:t>
            </w:r>
            <w:r w:rsidR="00182849">
              <w:rPr>
                <w:rFonts w:cs="Arial"/>
                <w:szCs w:val="24"/>
                <w:lang w:eastAsia="en-GB"/>
              </w:rPr>
              <w:t xml:space="preserve"> Pension Fund </w:t>
            </w:r>
            <w:r w:rsidR="003007D9">
              <w:rPr>
                <w:rFonts w:cs="Arial"/>
                <w:szCs w:val="24"/>
                <w:lang w:eastAsia="en-GB"/>
              </w:rPr>
              <w:t xml:space="preserve">Committee approved an approach to </w:t>
            </w:r>
            <w:r>
              <w:rPr>
                <w:rFonts w:cs="Arial"/>
                <w:szCs w:val="24"/>
                <w:lang w:eastAsia="en-GB"/>
              </w:rPr>
              <w:t>ensure that the Fund is ready for the implementation of the Good Governance Review in 2022</w:t>
            </w:r>
            <w:r w:rsidR="00922249">
              <w:rPr>
                <w:rFonts w:cs="Arial"/>
                <w:szCs w:val="24"/>
              </w:rPr>
              <w:t xml:space="preserve">. </w:t>
            </w:r>
            <w:r w:rsidR="003007D9">
              <w:rPr>
                <w:rFonts w:cs="Arial"/>
                <w:szCs w:val="24"/>
              </w:rPr>
              <w:t>This report sets out the Board’s role in helping to facilitate that process.</w:t>
            </w:r>
          </w:p>
          <w:p w14:paraId="2049D9D5" w14:textId="77777777" w:rsidR="00E2344F" w:rsidRPr="00E2344F" w:rsidRDefault="00E2344F" w:rsidP="00E2344F">
            <w:pPr>
              <w:pStyle w:val="Heading2"/>
              <w:rPr>
                <w:sz w:val="28"/>
                <w:szCs w:val="28"/>
              </w:rPr>
            </w:pPr>
            <w:r w:rsidRPr="00E2344F">
              <w:rPr>
                <w:sz w:val="28"/>
                <w:szCs w:val="28"/>
              </w:rPr>
              <w:t xml:space="preserve">Recommendations: </w:t>
            </w:r>
          </w:p>
          <w:p w14:paraId="714CBDEE" w14:textId="3688B09E" w:rsidR="00A160B2" w:rsidRDefault="00E2344F" w:rsidP="00E2344F">
            <w:r>
              <w:t xml:space="preserve">The </w:t>
            </w:r>
            <w:r w:rsidR="003007D9">
              <w:t>Board</w:t>
            </w:r>
            <w:r>
              <w:t xml:space="preserve"> is recommended </w:t>
            </w:r>
            <w:r w:rsidR="00922249">
              <w:t xml:space="preserve">to </w:t>
            </w:r>
            <w:r w:rsidR="003007D9">
              <w:t xml:space="preserve">note the report and to </w:t>
            </w:r>
            <w:r w:rsidR="00922249">
              <w:t xml:space="preserve">approve the </w:t>
            </w:r>
            <w:r w:rsidR="003007D9">
              <w:t xml:space="preserve">suggested </w:t>
            </w:r>
            <w:r w:rsidR="00E16F4A">
              <w:t>approach o</w:t>
            </w:r>
            <w:r w:rsidR="003007D9">
              <w:t>f</w:t>
            </w:r>
            <w:r w:rsidR="00E16F4A">
              <w:t xml:space="preserve"> reviewing up to two policies at each meeting.</w:t>
            </w:r>
            <w:r w:rsidR="00A160B2">
              <w:t xml:space="preserve">  </w:t>
            </w:r>
          </w:p>
        </w:tc>
      </w:tr>
    </w:tbl>
    <w:p w14:paraId="53DC7DE2" w14:textId="36DB607C" w:rsidR="002A2389" w:rsidRDefault="002A2389" w:rsidP="00A160B2">
      <w:pPr>
        <w:pStyle w:val="Heading2"/>
      </w:pPr>
      <w:r>
        <w:t>Section 2 – Report</w:t>
      </w:r>
    </w:p>
    <w:p w14:paraId="1911551C" w14:textId="77777777" w:rsidR="00E2344F" w:rsidRPr="00E2344F" w:rsidRDefault="00E2344F" w:rsidP="00E2344F"/>
    <w:p w14:paraId="7C3112C8" w14:textId="01AA7E84" w:rsidR="003007D9" w:rsidRDefault="00497308" w:rsidP="008306D5">
      <w:pPr>
        <w:numPr>
          <w:ilvl w:val="0"/>
          <w:numId w:val="16"/>
        </w:numPr>
        <w:tabs>
          <w:tab w:val="clear" w:pos="584"/>
        </w:tabs>
        <w:ind w:left="284" w:hanging="284"/>
        <w:jc w:val="both"/>
      </w:pPr>
      <w:bookmarkStart w:id="0" w:name="_Hlk74148209"/>
      <w:r w:rsidRPr="00497308">
        <w:t>The LGPS “Good Governance Review”</w:t>
      </w:r>
      <w:r w:rsidR="008306D5" w:rsidRPr="00497308">
        <w:t xml:space="preserve"> </w:t>
      </w:r>
      <w:r>
        <w:t xml:space="preserve">began in 2019. Its implementation has been delayed by the Covid-19 pandemic, but earlier in 2021 the LGPS Scheme Advisory Board </w:t>
      </w:r>
      <w:r w:rsidR="003007D9">
        <w:t xml:space="preserve">(SAB) </w:t>
      </w:r>
      <w:r>
        <w:t xml:space="preserve">published a Phase 3 Report – this is now with the Government (MHCLG) for implementation. Before the </w:t>
      </w:r>
      <w:r w:rsidR="003007D9">
        <w:t xml:space="preserve">Pension Fund </w:t>
      </w:r>
      <w:r>
        <w:t>Committee’s meeting</w:t>
      </w:r>
      <w:r w:rsidR="003007D9">
        <w:t xml:space="preserve"> on 24</w:t>
      </w:r>
      <w:r w:rsidR="003007D9" w:rsidRPr="003007D9">
        <w:rPr>
          <w:vertAlign w:val="superscript"/>
        </w:rPr>
        <w:t>th</w:t>
      </w:r>
      <w:r w:rsidR="003007D9">
        <w:t xml:space="preserve"> June 2021</w:t>
      </w:r>
      <w:r>
        <w:t xml:space="preserve">, Ian Colvin of Hymans Robertson (who as well as being the Harrow Fund’s actuaries, also advised the SAB </w:t>
      </w:r>
      <w:r>
        <w:lastRenderedPageBreak/>
        <w:t xml:space="preserve">during the Review). </w:t>
      </w:r>
      <w:r w:rsidR="008306D5" w:rsidRPr="00497308">
        <w:t xml:space="preserve"> </w:t>
      </w:r>
      <w:r>
        <w:t xml:space="preserve">In that session the Committee was advised of the key issues arising from the Review. </w:t>
      </w:r>
      <w:bookmarkStart w:id="1" w:name="_Hlk81313652"/>
    </w:p>
    <w:p w14:paraId="04C44B2C" w14:textId="77777777" w:rsidR="003007D9" w:rsidRDefault="003007D9" w:rsidP="003007D9">
      <w:pPr>
        <w:ind w:left="284"/>
        <w:jc w:val="both"/>
      </w:pPr>
    </w:p>
    <w:p w14:paraId="0D3EA30F" w14:textId="3B2C1C61" w:rsidR="008306D5" w:rsidRPr="00497308" w:rsidRDefault="003007D9" w:rsidP="008306D5">
      <w:pPr>
        <w:numPr>
          <w:ilvl w:val="0"/>
          <w:numId w:val="16"/>
        </w:numPr>
        <w:tabs>
          <w:tab w:val="clear" w:pos="584"/>
        </w:tabs>
        <w:ind w:left="284" w:hanging="284"/>
        <w:jc w:val="both"/>
      </w:pPr>
      <w:r>
        <w:t>At its meeting on 13</w:t>
      </w:r>
      <w:r w:rsidRPr="003007D9">
        <w:rPr>
          <w:vertAlign w:val="superscript"/>
        </w:rPr>
        <w:t>th</w:t>
      </w:r>
      <w:r>
        <w:t xml:space="preserve"> September 2021, the Committee considered and approved the</w:t>
      </w:r>
      <w:r w:rsidR="00497308">
        <w:t xml:space="preserve"> proposed approach to ensuring that Harrow is ready for the </w:t>
      </w:r>
      <w:r w:rsidR="00964ADC">
        <w:t>Review’s implementation in 2022.</w:t>
      </w:r>
      <w:bookmarkEnd w:id="1"/>
    </w:p>
    <w:p w14:paraId="60E7929F" w14:textId="5E8F169B" w:rsidR="008306D5" w:rsidRPr="00182849" w:rsidRDefault="008306D5" w:rsidP="008306D5">
      <w:pPr>
        <w:ind w:left="284"/>
        <w:jc w:val="both"/>
      </w:pPr>
    </w:p>
    <w:p w14:paraId="12FB0404" w14:textId="1E89933E" w:rsidR="001B1046" w:rsidRDefault="001B1046" w:rsidP="00013E4E">
      <w:pPr>
        <w:numPr>
          <w:ilvl w:val="0"/>
          <w:numId w:val="16"/>
        </w:numPr>
        <w:tabs>
          <w:tab w:val="clear" w:pos="584"/>
        </w:tabs>
        <w:ind w:left="284" w:hanging="284"/>
        <w:jc w:val="both"/>
        <w:rPr>
          <w:szCs w:val="24"/>
        </w:rPr>
      </w:pPr>
      <w:r w:rsidRPr="00E16F4A">
        <w:rPr>
          <w:szCs w:val="24"/>
        </w:rPr>
        <w:t>A key aspect of the Review is the requirement to ensure that the Fund has in place up to date policies and other key documents, including</w:t>
      </w:r>
      <w:r w:rsidR="00E16F4A">
        <w:rPr>
          <w:szCs w:val="24"/>
        </w:rPr>
        <w:t xml:space="preserve"> (the list here is not exhaustive)</w:t>
      </w:r>
    </w:p>
    <w:p w14:paraId="707169D7" w14:textId="77777777" w:rsidR="00144711" w:rsidRDefault="00144711" w:rsidP="00144711">
      <w:pPr>
        <w:pStyle w:val="ListParagraph"/>
        <w:rPr>
          <w:szCs w:val="24"/>
        </w:rPr>
      </w:pPr>
    </w:p>
    <w:p w14:paraId="0461A668" w14:textId="77777777" w:rsidR="001B1046" w:rsidRPr="00E16F4A" w:rsidRDefault="001B1046" w:rsidP="001B1046">
      <w:pPr>
        <w:pStyle w:val="ListParagraph"/>
        <w:numPr>
          <w:ilvl w:val="0"/>
          <w:numId w:val="22"/>
        </w:numPr>
        <w:jc w:val="both"/>
        <w:rPr>
          <w:sz w:val="24"/>
          <w:szCs w:val="24"/>
        </w:rPr>
      </w:pPr>
      <w:r w:rsidRPr="00E16F4A">
        <w:rPr>
          <w:sz w:val="24"/>
          <w:szCs w:val="24"/>
        </w:rPr>
        <w:t>Conflicts Management policy</w:t>
      </w:r>
    </w:p>
    <w:p w14:paraId="5EFC64BD" w14:textId="77777777" w:rsidR="00E16F4A" w:rsidRPr="00E16F4A" w:rsidRDefault="001B1046" w:rsidP="001B1046">
      <w:pPr>
        <w:pStyle w:val="ListParagraph"/>
        <w:numPr>
          <w:ilvl w:val="0"/>
          <w:numId w:val="22"/>
        </w:numPr>
        <w:jc w:val="both"/>
        <w:rPr>
          <w:sz w:val="24"/>
          <w:szCs w:val="24"/>
        </w:rPr>
      </w:pPr>
      <w:r w:rsidRPr="00E16F4A">
        <w:rPr>
          <w:sz w:val="24"/>
          <w:szCs w:val="24"/>
        </w:rPr>
        <w:t>Representation Policy</w:t>
      </w:r>
    </w:p>
    <w:p w14:paraId="1C8E6601" w14:textId="17D11393" w:rsidR="00E16F4A" w:rsidRPr="00E16F4A" w:rsidRDefault="001B1046" w:rsidP="00E16F4A">
      <w:pPr>
        <w:pStyle w:val="ListParagraph"/>
        <w:numPr>
          <w:ilvl w:val="0"/>
          <w:numId w:val="22"/>
        </w:numPr>
        <w:jc w:val="both"/>
        <w:rPr>
          <w:sz w:val="24"/>
          <w:szCs w:val="24"/>
        </w:rPr>
      </w:pPr>
      <w:r w:rsidRPr="00E16F4A">
        <w:rPr>
          <w:sz w:val="24"/>
          <w:szCs w:val="24"/>
        </w:rPr>
        <w:t>Administration strategy</w:t>
      </w:r>
      <w:r w:rsidR="00E16F4A" w:rsidRPr="00E16F4A">
        <w:rPr>
          <w:sz w:val="24"/>
          <w:szCs w:val="24"/>
        </w:rPr>
        <w:tab/>
      </w:r>
    </w:p>
    <w:p w14:paraId="4B1BDA7B" w14:textId="2B6B9E80" w:rsidR="00E16F4A" w:rsidRDefault="00E16F4A" w:rsidP="00E16F4A">
      <w:pPr>
        <w:pStyle w:val="ListParagraph"/>
        <w:numPr>
          <w:ilvl w:val="0"/>
          <w:numId w:val="22"/>
        </w:numPr>
        <w:jc w:val="both"/>
        <w:rPr>
          <w:sz w:val="24"/>
          <w:szCs w:val="24"/>
        </w:rPr>
      </w:pPr>
      <w:r w:rsidRPr="00E16F4A">
        <w:rPr>
          <w:sz w:val="24"/>
          <w:szCs w:val="24"/>
        </w:rPr>
        <w:t>Communications Policy</w:t>
      </w:r>
      <w:r>
        <w:rPr>
          <w:sz w:val="24"/>
          <w:szCs w:val="24"/>
        </w:rPr>
        <w:t xml:space="preserve"> (updated in March 2021)</w:t>
      </w:r>
    </w:p>
    <w:p w14:paraId="3FBA8D6B" w14:textId="23BEB9B3" w:rsidR="00E16F4A" w:rsidRDefault="00E16F4A" w:rsidP="00E16F4A">
      <w:pPr>
        <w:pStyle w:val="ListParagraph"/>
        <w:numPr>
          <w:ilvl w:val="0"/>
          <w:numId w:val="22"/>
        </w:numPr>
        <w:jc w:val="both"/>
        <w:rPr>
          <w:sz w:val="24"/>
          <w:szCs w:val="24"/>
        </w:rPr>
      </w:pPr>
      <w:r>
        <w:rPr>
          <w:sz w:val="24"/>
          <w:szCs w:val="24"/>
        </w:rPr>
        <w:t xml:space="preserve">Training Strategy </w:t>
      </w:r>
    </w:p>
    <w:p w14:paraId="5F60C59A" w14:textId="77777777" w:rsidR="00144711" w:rsidRDefault="00144711" w:rsidP="00E16F4A">
      <w:pPr>
        <w:pStyle w:val="ListParagraph"/>
        <w:ind w:left="360"/>
        <w:jc w:val="both"/>
        <w:rPr>
          <w:sz w:val="24"/>
          <w:szCs w:val="24"/>
        </w:rPr>
      </w:pPr>
    </w:p>
    <w:p w14:paraId="6A836CEC" w14:textId="3ED07D39" w:rsidR="008306D5" w:rsidRPr="00E16F4A" w:rsidRDefault="001B1046" w:rsidP="00E16F4A">
      <w:pPr>
        <w:pStyle w:val="ListParagraph"/>
        <w:ind w:left="360"/>
        <w:jc w:val="both"/>
        <w:rPr>
          <w:sz w:val="24"/>
          <w:szCs w:val="24"/>
        </w:rPr>
      </w:pPr>
      <w:r w:rsidRPr="00E16F4A">
        <w:rPr>
          <w:sz w:val="24"/>
          <w:szCs w:val="24"/>
        </w:rPr>
        <w:t>As indicated in the training, it is important that the approach adopted is proportionate and appropriate – recognising that a “smaller” fund (</w:t>
      </w:r>
      <w:r w:rsidR="003007D9" w:rsidRPr="00E16F4A">
        <w:rPr>
          <w:sz w:val="24"/>
          <w:szCs w:val="24"/>
        </w:rPr>
        <w:t xml:space="preserve">Harrow, like </w:t>
      </w:r>
      <w:r w:rsidRPr="00E16F4A">
        <w:rPr>
          <w:sz w:val="24"/>
          <w:szCs w:val="24"/>
        </w:rPr>
        <w:t xml:space="preserve">most London Boroughs’ funds will fall into this category) has differing requirements from a large County or former metropolitan authority fund. </w:t>
      </w:r>
    </w:p>
    <w:p w14:paraId="6FE68D6E" w14:textId="77777777" w:rsidR="007808A7" w:rsidRPr="001B3228" w:rsidRDefault="007808A7" w:rsidP="007808A7">
      <w:pPr>
        <w:ind w:left="284"/>
        <w:jc w:val="both"/>
        <w:rPr>
          <w:highlight w:val="yellow"/>
        </w:rPr>
      </w:pPr>
    </w:p>
    <w:p w14:paraId="1D00086E" w14:textId="3C9DFF0E" w:rsidR="001B1046" w:rsidRDefault="001B1046" w:rsidP="00E2344F">
      <w:pPr>
        <w:numPr>
          <w:ilvl w:val="0"/>
          <w:numId w:val="16"/>
        </w:numPr>
        <w:tabs>
          <w:tab w:val="clear" w:pos="584"/>
          <w:tab w:val="num" w:pos="284"/>
        </w:tabs>
        <w:ind w:left="284" w:hanging="284"/>
        <w:jc w:val="both"/>
      </w:pPr>
      <w:r>
        <w:t xml:space="preserve">Hymans Robertson have developed a suite of template LGPS policies which can be used / tailored to fit the </w:t>
      </w:r>
      <w:r w:rsidR="00310B8D">
        <w:t xml:space="preserve">Harrow </w:t>
      </w:r>
      <w:r>
        <w:t xml:space="preserve">Fund’s specific requirements. Given the limited officer resource </w:t>
      </w:r>
      <w:r w:rsidR="00791A90">
        <w:t xml:space="preserve">available to </w:t>
      </w:r>
      <w:r>
        <w:t>work on these aspects</w:t>
      </w:r>
      <w:r w:rsidR="00310B8D">
        <w:t xml:space="preserve"> of Fund governance</w:t>
      </w:r>
      <w:r>
        <w:t>, and to ensure</w:t>
      </w:r>
      <w:r w:rsidR="00310B8D">
        <w:t xml:space="preserve"> that</w:t>
      </w:r>
      <w:r>
        <w:t xml:space="preserve"> best use </w:t>
      </w:r>
      <w:r w:rsidR="00310B8D">
        <w:t xml:space="preserve">is made </w:t>
      </w:r>
      <w:r>
        <w:t xml:space="preserve">of that time, it is </w:t>
      </w:r>
      <w:r w:rsidR="00310B8D">
        <w:t>intended</w:t>
      </w:r>
      <w:r>
        <w:t xml:space="preserve"> to purchase </w:t>
      </w:r>
      <w:r w:rsidR="00310B8D">
        <w:t xml:space="preserve">the </w:t>
      </w:r>
      <w:r>
        <w:t xml:space="preserve">relevant </w:t>
      </w:r>
      <w:r w:rsidR="00310B8D">
        <w:t xml:space="preserve">policy </w:t>
      </w:r>
      <w:r>
        <w:t>templates and customise those</w:t>
      </w:r>
      <w:r w:rsidR="00310B8D">
        <w:t xml:space="preserve"> as required.</w:t>
      </w:r>
      <w:r>
        <w:t xml:space="preserve"> </w:t>
      </w:r>
    </w:p>
    <w:p w14:paraId="112F00DB" w14:textId="77777777" w:rsidR="001B1046" w:rsidRDefault="001B1046" w:rsidP="001B1046">
      <w:pPr>
        <w:ind w:left="284"/>
        <w:jc w:val="both"/>
      </w:pPr>
    </w:p>
    <w:p w14:paraId="0B6349A3" w14:textId="18180DEF" w:rsidR="007808A7" w:rsidRPr="00182849" w:rsidRDefault="00182849" w:rsidP="001C449F">
      <w:pPr>
        <w:numPr>
          <w:ilvl w:val="0"/>
          <w:numId w:val="16"/>
        </w:numPr>
        <w:tabs>
          <w:tab w:val="clear" w:pos="584"/>
          <w:tab w:val="num" w:pos="284"/>
        </w:tabs>
        <w:ind w:left="284" w:hanging="284"/>
        <w:jc w:val="both"/>
      </w:pPr>
      <w:r w:rsidRPr="00182849">
        <w:t>T</w:t>
      </w:r>
      <w:r w:rsidR="00310B8D" w:rsidRPr="00182849">
        <w:t>he B</w:t>
      </w:r>
      <w:r w:rsidR="001B1046" w:rsidRPr="00182849">
        <w:t xml:space="preserve">oard’s remit includes supporting the </w:t>
      </w:r>
      <w:r w:rsidR="00310B8D" w:rsidRPr="00182849">
        <w:t xml:space="preserve">administering </w:t>
      </w:r>
      <w:r w:rsidR="001B1046" w:rsidRPr="00182849">
        <w:t xml:space="preserve">authority in ensuring compliance with the relevant regulations and codes of practice. </w:t>
      </w:r>
      <w:r w:rsidR="00144711" w:rsidRPr="00182849">
        <w:t>The Committee</w:t>
      </w:r>
      <w:r w:rsidRPr="00182849">
        <w:t xml:space="preserve"> therefore </w:t>
      </w:r>
      <w:r w:rsidR="00310B8D" w:rsidRPr="00182849">
        <w:t xml:space="preserve">suggested that </w:t>
      </w:r>
      <w:r w:rsidR="001C449F" w:rsidRPr="00182849">
        <w:t xml:space="preserve">the Board could </w:t>
      </w:r>
      <w:r w:rsidR="00310B8D" w:rsidRPr="00182849">
        <w:t xml:space="preserve">provide some practical </w:t>
      </w:r>
      <w:r w:rsidR="001C449F" w:rsidRPr="00182849">
        <w:t>assist</w:t>
      </w:r>
      <w:r w:rsidR="00310B8D" w:rsidRPr="00182849">
        <w:t xml:space="preserve">ance </w:t>
      </w:r>
      <w:r w:rsidR="001C449F" w:rsidRPr="00182849">
        <w:t xml:space="preserve">by reviewing the draft policies (one or two at each meeting), </w:t>
      </w:r>
      <w:r w:rsidR="00310B8D" w:rsidRPr="00182849">
        <w:t xml:space="preserve">suggesting appropriate </w:t>
      </w:r>
      <w:r w:rsidR="001C449F" w:rsidRPr="00182849">
        <w:t>changes</w:t>
      </w:r>
      <w:r w:rsidR="00310B8D" w:rsidRPr="00182849">
        <w:t xml:space="preserve"> which would </w:t>
      </w:r>
      <w:r w:rsidR="00791A90" w:rsidRPr="00182849">
        <w:t xml:space="preserve">then </w:t>
      </w:r>
      <w:r w:rsidR="001C449F" w:rsidRPr="00182849">
        <w:t xml:space="preserve">be incorporated before the policies are brought to the Committee for approval and adoption. </w:t>
      </w:r>
      <w:r w:rsidR="00013E4E" w:rsidRPr="00182849">
        <w:t xml:space="preserve"> </w:t>
      </w:r>
      <w:bookmarkEnd w:id="0"/>
    </w:p>
    <w:p w14:paraId="2F934F21" w14:textId="77777777" w:rsidR="00310B8D" w:rsidRDefault="00310B8D" w:rsidP="00310B8D">
      <w:pPr>
        <w:pStyle w:val="ListParagraph"/>
      </w:pPr>
    </w:p>
    <w:p w14:paraId="4CCC4BA6" w14:textId="1AE5FE8E" w:rsidR="00310B8D" w:rsidRPr="00182849" w:rsidRDefault="00182849" w:rsidP="001C449F">
      <w:pPr>
        <w:numPr>
          <w:ilvl w:val="0"/>
          <w:numId w:val="16"/>
        </w:numPr>
        <w:tabs>
          <w:tab w:val="clear" w:pos="584"/>
          <w:tab w:val="num" w:pos="284"/>
        </w:tabs>
        <w:ind w:left="284" w:hanging="284"/>
        <w:jc w:val="both"/>
      </w:pPr>
      <w:r>
        <w:t xml:space="preserve">To manage this task in a practical way, it is proposed that </w:t>
      </w:r>
      <w:r w:rsidR="00E16F4A">
        <w:t xml:space="preserve">the Board reviews one or two policies in detail at each meeting, beginning with the most important. </w:t>
      </w:r>
      <w:r>
        <w:t xml:space="preserve"> </w:t>
      </w:r>
    </w:p>
    <w:p w14:paraId="3469E0D9" w14:textId="621B169D" w:rsidR="00213BE7" w:rsidRDefault="00213BE7" w:rsidP="00213BE7">
      <w:pPr>
        <w:pStyle w:val="Heading2"/>
      </w:pPr>
      <w:r w:rsidRPr="00182849">
        <w:t>Legal Implications</w:t>
      </w:r>
    </w:p>
    <w:p w14:paraId="443F8251" w14:textId="53772BE0" w:rsidR="00180D94" w:rsidRDefault="00180D94" w:rsidP="00180D94"/>
    <w:p w14:paraId="75D7E075" w14:textId="5209F2AA" w:rsidR="00A80313" w:rsidRPr="00A80313" w:rsidRDefault="00180D94" w:rsidP="00A80313">
      <w:pPr>
        <w:pStyle w:val="ListParagraph"/>
        <w:numPr>
          <w:ilvl w:val="0"/>
          <w:numId w:val="16"/>
        </w:numPr>
        <w:rPr>
          <w:sz w:val="24"/>
          <w:szCs w:val="24"/>
        </w:rPr>
      </w:pPr>
      <w:r w:rsidRPr="00F22AA0">
        <w:rPr>
          <w:sz w:val="24"/>
          <w:szCs w:val="24"/>
        </w:rPr>
        <w:t>There are no direct legal implications arising from this report.</w:t>
      </w:r>
      <w:r w:rsidR="00A80313">
        <w:rPr>
          <w:sz w:val="24"/>
          <w:szCs w:val="24"/>
        </w:rPr>
        <w:t xml:space="preserve"> </w:t>
      </w:r>
    </w:p>
    <w:p w14:paraId="41BB405D" w14:textId="77777777" w:rsidR="002A2389" w:rsidRDefault="002A2389" w:rsidP="003D2FFE">
      <w:pPr>
        <w:pStyle w:val="Heading2"/>
        <w:spacing w:after="240"/>
      </w:pPr>
      <w:r>
        <w:t>Financial Implications</w:t>
      </w:r>
    </w:p>
    <w:p w14:paraId="110B0902" w14:textId="77777777" w:rsidR="00180D94" w:rsidRPr="00F22AA0" w:rsidRDefault="00180D94" w:rsidP="00180D94">
      <w:pPr>
        <w:pStyle w:val="ListParagraph"/>
        <w:numPr>
          <w:ilvl w:val="0"/>
          <w:numId w:val="16"/>
        </w:numPr>
        <w:rPr>
          <w:sz w:val="24"/>
          <w:szCs w:val="24"/>
        </w:rPr>
      </w:pPr>
      <w:r w:rsidRPr="00F22AA0">
        <w:rPr>
          <w:sz w:val="24"/>
          <w:szCs w:val="24"/>
        </w:rPr>
        <w:t>Whilst the financial health of the Pension Fund directly affects the level of employer contribution which, in turn, affects the resources available for the Council’s priorities there are no impacts arising directly from this report.</w:t>
      </w:r>
    </w:p>
    <w:p w14:paraId="2B95D393" w14:textId="165B0E37" w:rsidR="00180D94" w:rsidRDefault="00C32DAE" w:rsidP="00180D94">
      <w:pPr>
        <w:pStyle w:val="Heading2"/>
        <w:spacing w:after="240"/>
      </w:pPr>
      <w:r>
        <w:lastRenderedPageBreak/>
        <w:t>Risk Management Implications</w:t>
      </w:r>
    </w:p>
    <w:p w14:paraId="6260A6EF" w14:textId="713F68CC" w:rsidR="00180D94" w:rsidRPr="003F5AF9" w:rsidRDefault="00180D94" w:rsidP="00180D94">
      <w:pPr>
        <w:numPr>
          <w:ilvl w:val="0"/>
          <w:numId w:val="16"/>
        </w:numPr>
        <w:autoSpaceDE w:val="0"/>
        <w:autoSpaceDN w:val="0"/>
        <w:adjustRightInd w:val="0"/>
        <w:ind w:left="426" w:hanging="426"/>
        <w:rPr>
          <w:rFonts w:cs="Arial"/>
          <w:color w:val="000000"/>
          <w:szCs w:val="24"/>
          <w:lang w:eastAsia="en-GB"/>
        </w:rPr>
      </w:pPr>
      <w:r w:rsidRPr="00690F76">
        <w:t>The Pension Fund’s Risk Register is reviewed regularly by both th</w:t>
      </w:r>
      <w:r>
        <w:t>is</w:t>
      </w:r>
      <w:r w:rsidRPr="00690F76">
        <w:t xml:space="preserve"> </w:t>
      </w:r>
      <w:r w:rsidR="00310B8D">
        <w:t xml:space="preserve">Pension Fund </w:t>
      </w:r>
      <w:r w:rsidRPr="00690F76">
        <w:t xml:space="preserve">Committee and by the </w:t>
      </w:r>
      <w:r w:rsidR="00310B8D">
        <w:t>B</w:t>
      </w:r>
      <w:r w:rsidRPr="00690F76">
        <w:t xml:space="preserve">oard. </w:t>
      </w:r>
      <w:r>
        <w:t xml:space="preserve">The </w:t>
      </w:r>
      <w:r w:rsidR="00310B8D">
        <w:t>next</w:t>
      </w:r>
      <w:r>
        <w:t xml:space="preserve"> review </w:t>
      </w:r>
      <w:r w:rsidR="00310B8D">
        <w:t>will be at the Board’s meeting on 1</w:t>
      </w:r>
      <w:r w:rsidR="00310B8D" w:rsidRPr="00310B8D">
        <w:rPr>
          <w:vertAlign w:val="superscript"/>
        </w:rPr>
        <w:t>st</w:t>
      </w:r>
      <w:r w:rsidR="00310B8D">
        <w:t xml:space="preserve"> December 2021</w:t>
      </w:r>
      <w:r w:rsidR="006D6B23">
        <w:t>.</w:t>
      </w:r>
      <w:r>
        <w:t xml:space="preserve"> </w:t>
      </w:r>
    </w:p>
    <w:p w14:paraId="30F113F0" w14:textId="77777777" w:rsidR="00180D94" w:rsidRPr="003F5AF9" w:rsidRDefault="00180D94" w:rsidP="00180D94">
      <w:pPr>
        <w:autoSpaceDE w:val="0"/>
        <w:autoSpaceDN w:val="0"/>
        <w:adjustRightInd w:val="0"/>
        <w:ind w:left="426"/>
        <w:rPr>
          <w:rFonts w:cs="Arial"/>
          <w:color w:val="000000"/>
          <w:szCs w:val="24"/>
          <w:lang w:eastAsia="en-GB"/>
        </w:rPr>
      </w:pPr>
    </w:p>
    <w:p w14:paraId="63673B0F" w14:textId="33363467" w:rsidR="00180D94" w:rsidRPr="00180D94" w:rsidRDefault="00180D94" w:rsidP="00180D94">
      <w:pPr>
        <w:numPr>
          <w:ilvl w:val="0"/>
          <w:numId w:val="16"/>
        </w:numPr>
        <w:autoSpaceDE w:val="0"/>
        <w:autoSpaceDN w:val="0"/>
        <w:adjustRightInd w:val="0"/>
        <w:ind w:left="426" w:hanging="426"/>
        <w:rPr>
          <w:rFonts w:cs="Arial"/>
          <w:color w:val="000000"/>
          <w:szCs w:val="24"/>
          <w:lang w:eastAsia="en-GB"/>
        </w:rPr>
      </w:pPr>
      <w:r w:rsidRPr="00690F76">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7F3D60FE" w14:textId="27532E63" w:rsidR="00180D94" w:rsidRPr="00180D94" w:rsidRDefault="00180D94" w:rsidP="00180D94">
      <w:pPr>
        <w:pStyle w:val="Heading2"/>
        <w:keepNext/>
        <w:spacing w:after="240"/>
        <w:rPr>
          <w:color w:val="000000"/>
          <w:szCs w:val="24"/>
          <w:lang w:eastAsia="en-GB"/>
        </w:rPr>
      </w:pPr>
      <w:r w:rsidRPr="004A2543">
        <w:t>Equalities implications</w:t>
      </w:r>
      <w:r>
        <w:t xml:space="preserve"> / Public Sector Equality Duty </w:t>
      </w:r>
    </w:p>
    <w:p w14:paraId="556E49AD" w14:textId="77777777" w:rsidR="00180D94" w:rsidRPr="00180D94" w:rsidRDefault="00FD31A0" w:rsidP="00FD31A0">
      <w:pPr>
        <w:numPr>
          <w:ilvl w:val="0"/>
          <w:numId w:val="16"/>
        </w:numPr>
        <w:autoSpaceDE w:val="0"/>
        <w:autoSpaceDN w:val="0"/>
        <w:adjustRightInd w:val="0"/>
        <w:ind w:left="426" w:hanging="426"/>
        <w:rPr>
          <w:rFonts w:cs="Arial"/>
          <w:color w:val="000000"/>
          <w:szCs w:val="24"/>
          <w:lang w:eastAsia="en-GB"/>
        </w:rPr>
      </w:pPr>
      <w:r w:rsidRPr="004A2543">
        <w:t xml:space="preserve">Was an Equality Impact Assessment carried out?  </w:t>
      </w:r>
      <w:r>
        <w:t>No</w:t>
      </w:r>
    </w:p>
    <w:p w14:paraId="79CE73A9" w14:textId="08D2A450" w:rsidR="00180D94" w:rsidRDefault="00180D94" w:rsidP="00310B8D">
      <w:pPr>
        <w:autoSpaceDE w:val="0"/>
        <w:autoSpaceDN w:val="0"/>
        <w:adjustRightInd w:val="0"/>
        <w:spacing w:after="240"/>
        <w:ind w:left="426"/>
      </w:pPr>
      <w:r>
        <w:t>There are no direct equalities implications arising from this report.</w:t>
      </w:r>
    </w:p>
    <w:p w14:paraId="5779EA79" w14:textId="6A71C833" w:rsidR="00180D94" w:rsidRPr="00180D94" w:rsidRDefault="00180D94" w:rsidP="00180D94">
      <w:pPr>
        <w:pStyle w:val="Heading2"/>
        <w:spacing w:after="240"/>
        <w:rPr>
          <w:color w:val="000000"/>
          <w:szCs w:val="24"/>
          <w:lang w:eastAsia="en-GB"/>
        </w:rPr>
      </w:pPr>
      <w:r>
        <w:t xml:space="preserve">Council </w:t>
      </w:r>
      <w:r w:rsidRPr="00CD57D8">
        <w:t>Priorities</w:t>
      </w:r>
      <w:r w:rsidR="00FD31A0">
        <w:t xml:space="preserve"> </w:t>
      </w:r>
    </w:p>
    <w:p w14:paraId="0C2F27D8" w14:textId="3EC96163" w:rsidR="00FD31A0" w:rsidRPr="004A2543" w:rsidRDefault="00180D94" w:rsidP="00310B8D">
      <w:pPr>
        <w:numPr>
          <w:ilvl w:val="0"/>
          <w:numId w:val="16"/>
        </w:numPr>
        <w:autoSpaceDE w:val="0"/>
        <w:autoSpaceDN w:val="0"/>
        <w:adjustRightInd w:val="0"/>
        <w:spacing w:after="240"/>
        <w:ind w:left="426" w:hanging="426"/>
      </w:pPr>
      <w:r w:rsidRPr="00310B8D">
        <w:rPr>
          <w:szCs w:val="24"/>
          <w:lang w:val="en-US"/>
        </w:rPr>
        <w:t>The performance of the Pension Fund directly affects the level of employer contribution which then, in turn, affects the resources available for the Council’s priorities</w:t>
      </w:r>
      <w:r w:rsidR="00F22AA0" w:rsidRPr="00310B8D">
        <w:rPr>
          <w:szCs w:val="24"/>
          <w:lang w:val="en-US"/>
        </w:rPr>
        <w:t>.</w:t>
      </w:r>
      <w:r>
        <w:t xml:space="preserve"> </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3E6D808B" w:rsidR="00912904" w:rsidRPr="00A66326" w:rsidRDefault="00912904" w:rsidP="00912904">
      <w:pPr>
        <w:rPr>
          <w:sz w:val="28"/>
        </w:rPr>
      </w:pPr>
      <w:r w:rsidRPr="00A66326">
        <w:rPr>
          <w:b/>
          <w:sz w:val="28"/>
        </w:rPr>
        <w:t xml:space="preserve">Statutory Officer:  </w:t>
      </w:r>
      <w:r w:rsidR="00960BF7">
        <w:rPr>
          <w:b/>
          <w:sz w:val="28"/>
        </w:rPr>
        <w:t>Dawn Calvert</w:t>
      </w:r>
    </w:p>
    <w:p w14:paraId="57640BD9" w14:textId="64851CBC" w:rsidR="00912904" w:rsidRDefault="00912904" w:rsidP="00310B8D">
      <w:pPr>
        <w:spacing w:after="240"/>
      </w:pPr>
      <w:r w:rsidRPr="00A66326">
        <w:t>Signed by the Chief Financial Officer</w:t>
      </w:r>
    </w:p>
    <w:p w14:paraId="5745A2E3" w14:textId="51FCD1FE" w:rsidR="00912904" w:rsidRPr="00A66326" w:rsidRDefault="00912904" w:rsidP="00912904">
      <w:pPr>
        <w:spacing w:after="480"/>
        <w:rPr>
          <w:sz w:val="28"/>
        </w:rPr>
      </w:pPr>
      <w:r w:rsidRPr="00A66326">
        <w:rPr>
          <w:b/>
          <w:sz w:val="28"/>
        </w:rPr>
        <w:t xml:space="preserve">Date:  </w:t>
      </w:r>
      <w:r w:rsidR="00960BF7">
        <w:rPr>
          <w:b/>
          <w:sz w:val="28"/>
        </w:rPr>
        <w:t>16/09/2021</w:t>
      </w:r>
    </w:p>
    <w:p w14:paraId="2586CC50" w14:textId="5BDC74EA" w:rsidR="00912904" w:rsidRPr="00A66326" w:rsidRDefault="00912904" w:rsidP="00912904">
      <w:pPr>
        <w:rPr>
          <w:sz w:val="28"/>
        </w:rPr>
      </w:pPr>
      <w:r w:rsidRPr="00A66326">
        <w:rPr>
          <w:b/>
          <w:sz w:val="28"/>
        </w:rPr>
        <w:t xml:space="preserve">Statutory Officer:  </w:t>
      </w:r>
      <w:r w:rsidR="00871B32">
        <w:rPr>
          <w:b/>
          <w:sz w:val="28"/>
        </w:rPr>
        <w:t>Sharon Clarke</w:t>
      </w:r>
    </w:p>
    <w:p w14:paraId="3F58D77A" w14:textId="60ABC8E9" w:rsidR="00912904" w:rsidRPr="00A66326" w:rsidRDefault="00912904" w:rsidP="00310B8D">
      <w:pPr>
        <w:spacing w:after="240"/>
      </w:pPr>
      <w:r w:rsidRPr="00A66326">
        <w:t>Signed on behalf of the Monitoring Officer</w:t>
      </w:r>
    </w:p>
    <w:p w14:paraId="61F8C7E6" w14:textId="75F15E70" w:rsidR="00912904" w:rsidRPr="003313EA" w:rsidRDefault="00912904" w:rsidP="00912904">
      <w:pPr>
        <w:spacing w:after="480"/>
        <w:rPr>
          <w:sz w:val="28"/>
        </w:rPr>
      </w:pPr>
      <w:r w:rsidRPr="00A66326">
        <w:rPr>
          <w:b/>
          <w:sz w:val="28"/>
        </w:rPr>
        <w:t xml:space="preserve">Date:  </w:t>
      </w:r>
      <w:r w:rsidR="00871B32">
        <w:rPr>
          <w:b/>
          <w:sz w:val="28"/>
        </w:rPr>
        <w:t>16/09/2021</w:t>
      </w:r>
    </w:p>
    <w:p w14:paraId="2019A53D" w14:textId="422560EF" w:rsidR="00912904" w:rsidRPr="00A66326" w:rsidRDefault="004A4A1D" w:rsidP="00912904">
      <w:pPr>
        <w:rPr>
          <w:sz w:val="28"/>
        </w:rPr>
      </w:pPr>
      <w:r>
        <w:rPr>
          <w:b/>
          <w:sz w:val="28"/>
        </w:rPr>
        <w:t>Chief</w:t>
      </w:r>
      <w:r w:rsidR="00912904" w:rsidRPr="00A66326">
        <w:rPr>
          <w:b/>
          <w:sz w:val="28"/>
        </w:rPr>
        <w:t xml:space="preserve"> Officer: </w:t>
      </w:r>
      <w:r w:rsidR="00DB1C98">
        <w:rPr>
          <w:b/>
          <w:sz w:val="28"/>
        </w:rPr>
        <w:t xml:space="preserve"> </w:t>
      </w:r>
      <w:r w:rsidR="00960BF7">
        <w:rPr>
          <w:b/>
          <w:sz w:val="28"/>
        </w:rPr>
        <w:t>Dawn Calvert</w:t>
      </w:r>
    </w:p>
    <w:p w14:paraId="12E4D11B" w14:textId="6935CA5D" w:rsidR="00912904" w:rsidRPr="00A66326" w:rsidRDefault="00365D29" w:rsidP="00310B8D">
      <w:pPr>
        <w:spacing w:after="240"/>
      </w:pPr>
      <w:r>
        <w:t>Signed</w:t>
      </w:r>
      <w:r w:rsidR="00912904" w:rsidRPr="00A66326">
        <w:t xml:space="preserve"> </w:t>
      </w:r>
      <w:r w:rsidR="00960BF7">
        <w:t>on behalf of</w:t>
      </w:r>
      <w:r w:rsidR="00912904" w:rsidRPr="00A66326">
        <w:t xml:space="preserve"> the Corporate Director</w:t>
      </w:r>
    </w:p>
    <w:p w14:paraId="21482980" w14:textId="35CB6381" w:rsidR="00912904" w:rsidRPr="00A66326" w:rsidRDefault="00912904" w:rsidP="00960BF7">
      <w:pPr>
        <w:tabs>
          <w:tab w:val="left" w:pos="2040"/>
        </w:tabs>
        <w:spacing w:after="480"/>
        <w:rPr>
          <w:sz w:val="28"/>
        </w:rPr>
      </w:pPr>
      <w:r w:rsidRPr="00A66326">
        <w:rPr>
          <w:b/>
          <w:sz w:val="28"/>
        </w:rPr>
        <w:t xml:space="preserve">Date:  </w:t>
      </w:r>
      <w:r w:rsidR="00960BF7">
        <w:rPr>
          <w:b/>
          <w:sz w:val="28"/>
        </w:rPr>
        <w:t>16/09/2021</w:t>
      </w:r>
    </w:p>
    <w:p w14:paraId="686CE5D8" w14:textId="77777777" w:rsidR="00912904" w:rsidRPr="00435B5D" w:rsidRDefault="00912904" w:rsidP="00912904">
      <w:pPr>
        <w:pStyle w:val="Heading2"/>
        <w:spacing w:after="240"/>
      </w:pPr>
      <w:r>
        <w:t>Mandatory Checks</w:t>
      </w:r>
    </w:p>
    <w:p w14:paraId="71FBC41D" w14:textId="14DE02B4" w:rsidR="00912904" w:rsidRPr="00144711" w:rsidRDefault="00912904" w:rsidP="00310B8D">
      <w:pPr>
        <w:pStyle w:val="Heading3"/>
        <w:spacing w:after="240"/>
        <w:ind w:left="0" w:firstLine="0"/>
        <w:rPr>
          <w:b w:val="0"/>
          <w:bCs w:val="0"/>
          <w:i/>
          <w:color w:val="FF0000"/>
          <w:szCs w:val="24"/>
        </w:rPr>
      </w:pPr>
      <w:r w:rsidRPr="00E90AFF">
        <w:rPr>
          <w:sz w:val="28"/>
        </w:rPr>
        <w:t xml:space="preserve">Ward Councillors notified:  </w:t>
      </w:r>
      <w:r w:rsidR="00180D94" w:rsidRPr="00144711">
        <w:rPr>
          <w:b w:val="0"/>
          <w:bCs w:val="0"/>
          <w:sz w:val="28"/>
        </w:rPr>
        <w:t>Not applicable</w:t>
      </w:r>
      <w:r w:rsidRPr="00144711">
        <w:rPr>
          <w:b w:val="0"/>
          <w:bCs w:val="0"/>
          <w:i/>
          <w:color w:val="FF0000"/>
          <w:szCs w:val="24"/>
        </w:rPr>
        <w:t xml:space="preserve"> </w:t>
      </w:r>
    </w:p>
    <w:p w14:paraId="629F8205" w14:textId="77777777" w:rsidR="002A2389" w:rsidRDefault="002A2389" w:rsidP="00912904">
      <w:pPr>
        <w:pStyle w:val="Heading2"/>
        <w:keepNext/>
        <w:spacing w:after="240"/>
      </w:pPr>
      <w:r>
        <w:lastRenderedPageBreak/>
        <w:t>Section 4 - Contact Details and Background Papers</w:t>
      </w:r>
    </w:p>
    <w:p w14:paraId="5043159A" w14:textId="1C2BD613" w:rsidR="00180D94" w:rsidRDefault="002A2389" w:rsidP="00180D94">
      <w:pPr>
        <w:pStyle w:val="Infotext"/>
        <w:rPr>
          <w:sz w:val="24"/>
          <w:szCs w:val="24"/>
        </w:rPr>
      </w:pPr>
      <w:r w:rsidRPr="00D914D2">
        <w:rPr>
          <w:b/>
        </w:rPr>
        <w:t>Contact:</w:t>
      </w:r>
      <w:r>
        <w:t xml:space="preserve">  </w:t>
      </w:r>
      <w:r w:rsidR="00180D94" w:rsidRPr="00A175BD">
        <w:rPr>
          <w:sz w:val="24"/>
          <w:szCs w:val="24"/>
        </w:rPr>
        <w:t xml:space="preserve">Jeremy Randall – Interim Pensions </w:t>
      </w:r>
      <w:r w:rsidR="00180D94">
        <w:rPr>
          <w:sz w:val="24"/>
          <w:szCs w:val="24"/>
        </w:rPr>
        <w:t>Manager</w:t>
      </w:r>
    </w:p>
    <w:p w14:paraId="064CDBC2" w14:textId="0AB6E598" w:rsidR="00180D94" w:rsidRPr="00DD6270" w:rsidRDefault="00180D94" w:rsidP="00180D94">
      <w:pPr>
        <w:pStyle w:val="Infotext"/>
      </w:pPr>
      <w:r w:rsidRPr="00A175BD">
        <w:rPr>
          <w:sz w:val="24"/>
          <w:szCs w:val="24"/>
        </w:rPr>
        <w:t xml:space="preserve">Email: </w:t>
      </w:r>
      <w:hyperlink r:id="rId11" w:history="1">
        <w:r w:rsidRPr="00A175BD">
          <w:rPr>
            <w:rStyle w:val="Hyperlink"/>
            <w:sz w:val="24"/>
            <w:szCs w:val="24"/>
          </w:rPr>
          <w:t>Jeremy.randall@harrow.gov.uk</w:t>
        </w:r>
      </w:hyperlink>
      <w:r w:rsidR="00144711">
        <w:rPr>
          <w:rStyle w:val="Hyperlink"/>
          <w:sz w:val="24"/>
          <w:szCs w:val="24"/>
        </w:rPr>
        <w:t xml:space="preserve">, </w:t>
      </w:r>
      <w:bookmarkStart w:id="2" w:name="_GoBack"/>
      <w:bookmarkEnd w:id="2"/>
      <w:r w:rsidRPr="00DD6270">
        <w:rPr>
          <w:rStyle w:val="Hyperlink"/>
          <w:color w:val="auto"/>
          <w:sz w:val="24"/>
          <w:szCs w:val="24"/>
          <w:u w:val="none"/>
        </w:rPr>
        <w:t>Telephone 020 8</w:t>
      </w:r>
      <w:r>
        <w:rPr>
          <w:rStyle w:val="Hyperlink"/>
          <w:color w:val="auto"/>
          <w:sz w:val="24"/>
          <w:szCs w:val="24"/>
          <w:u w:val="none"/>
        </w:rPr>
        <w:t>736 6552</w:t>
      </w:r>
    </w:p>
    <w:p w14:paraId="0AC2AC5C" w14:textId="618C4BE2" w:rsidR="00912904" w:rsidRDefault="002A2389" w:rsidP="00180D94">
      <w:pPr>
        <w:pStyle w:val="Infotext"/>
        <w:spacing w:before="360"/>
      </w:pPr>
      <w:r w:rsidRPr="00D914D2">
        <w:rPr>
          <w:b/>
        </w:rPr>
        <w:t>Background Papers</w:t>
      </w:r>
      <w:r>
        <w:t xml:space="preserve">:  </w:t>
      </w:r>
      <w:r w:rsidR="00180D94">
        <w:t xml:space="preserve">None </w:t>
      </w: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C6ABC"/>
    <w:multiLevelType w:val="hybridMultilevel"/>
    <w:tmpl w:val="02DC182A"/>
    <w:lvl w:ilvl="0" w:tplc="AE7086E8">
      <w:start w:val="1"/>
      <w:numFmt w:val="decimal"/>
      <w:lvlText w:val="%1."/>
      <w:lvlJc w:val="left"/>
      <w:pPr>
        <w:tabs>
          <w:tab w:val="num" w:pos="584"/>
        </w:tabs>
        <w:ind w:left="584" w:hanging="397"/>
      </w:pPr>
      <w:rPr>
        <w:rFonts w:hint="default"/>
        <w:color w:val="auto"/>
      </w:rPr>
    </w:lvl>
    <w:lvl w:ilvl="1" w:tplc="04090019">
      <w:start w:val="1"/>
      <w:numFmt w:val="lowerLetter"/>
      <w:lvlText w:val="%2."/>
      <w:lvlJc w:val="left"/>
      <w:pPr>
        <w:tabs>
          <w:tab w:val="num" w:pos="1440"/>
        </w:tabs>
        <w:ind w:left="1440" w:hanging="360"/>
      </w:pPr>
    </w:lvl>
    <w:lvl w:ilvl="2" w:tplc="633EB7DE">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C54C0"/>
    <w:multiLevelType w:val="hybridMultilevel"/>
    <w:tmpl w:val="D8DE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8257ED"/>
    <w:multiLevelType w:val="hybridMultilevel"/>
    <w:tmpl w:val="B2C009C4"/>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0"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484E38"/>
    <w:multiLevelType w:val="hybridMultilevel"/>
    <w:tmpl w:val="F3025F58"/>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3E385A"/>
    <w:multiLevelType w:val="hybridMultilevel"/>
    <w:tmpl w:val="4B0EC8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6"/>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5"/>
  </w:num>
  <w:num w:numId="9">
    <w:abstractNumId w:val="3"/>
  </w:num>
  <w:num w:numId="10">
    <w:abstractNumId w:val="14"/>
  </w:num>
  <w:num w:numId="11">
    <w:abstractNumId w:val="20"/>
  </w:num>
  <w:num w:numId="12">
    <w:abstractNumId w:val="13"/>
  </w:num>
  <w:num w:numId="13">
    <w:abstractNumId w:val="2"/>
  </w:num>
  <w:num w:numId="14">
    <w:abstractNumId w:val="6"/>
  </w:num>
  <w:num w:numId="15">
    <w:abstractNumId w:val="11"/>
  </w:num>
  <w:num w:numId="16">
    <w:abstractNumId w:val="4"/>
  </w:num>
  <w:num w:numId="17">
    <w:abstractNumId w:val="7"/>
  </w:num>
  <w:num w:numId="18">
    <w:abstractNumId w:val="18"/>
  </w:num>
  <w:num w:numId="19">
    <w:abstractNumId w:val="0"/>
  </w:num>
  <w:num w:numId="20">
    <w:abstractNumId w:val="15"/>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3E4E"/>
    <w:rsid w:val="00023F4C"/>
    <w:rsid w:val="00057F10"/>
    <w:rsid w:val="000633A2"/>
    <w:rsid w:val="00071EB4"/>
    <w:rsid w:val="00077298"/>
    <w:rsid w:val="000967C9"/>
    <w:rsid w:val="000A58A1"/>
    <w:rsid w:val="000A6659"/>
    <w:rsid w:val="000B0E6F"/>
    <w:rsid w:val="000B6DBB"/>
    <w:rsid w:val="000D2BF2"/>
    <w:rsid w:val="000D5870"/>
    <w:rsid w:val="000F65C0"/>
    <w:rsid w:val="00134D55"/>
    <w:rsid w:val="00144711"/>
    <w:rsid w:val="00180D94"/>
    <w:rsid w:val="00182849"/>
    <w:rsid w:val="001939BA"/>
    <w:rsid w:val="001A6EB0"/>
    <w:rsid w:val="001B1046"/>
    <w:rsid w:val="001B3228"/>
    <w:rsid w:val="001B441D"/>
    <w:rsid w:val="001C449F"/>
    <w:rsid w:val="001C5225"/>
    <w:rsid w:val="001E0219"/>
    <w:rsid w:val="00213BE7"/>
    <w:rsid w:val="00231A1D"/>
    <w:rsid w:val="00244120"/>
    <w:rsid w:val="00293F9F"/>
    <w:rsid w:val="002A2389"/>
    <w:rsid w:val="002B62F0"/>
    <w:rsid w:val="002C08E2"/>
    <w:rsid w:val="002C1794"/>
    <w:rsid w:val="002D2FC5"/>
    <w:rsid w:val="002E6637"/>
    <w:rsid w:val="002E77E3"/>
    <w:rsid w:val="002F0E81"/>
    <w:rsid w:val="003007D9"/>
    <w:rsid w:val="00310B8D"/>
    <w:rsid w:val="00332947"/>
    <w:rsid w:val="00333EB4"/>
    <w:rsid w:val="00345915"/>
    <w:rsid w:val="00365C6B"/>
    <w:rsid w:val="00365D29"/>
    <w:rsid w:val="00374F22"/>
    <w:rsid w:val="00385716"/>
    <w:rsid w:val="003D2FFE"/>
    <w:rsid w:val="003D5F0A"/>
    <w:rsid w:val="003D73DF"/>
    <w:rsid w:val="00400032"/>
    <w:rsid w:val="0042394B"/>
    <w:rsid w:val="00473B08"/>
    <w:rsid w:val="00474B5F"/>
    <w:rsid w:val="00497308"/>
    <w:rsid w:val="004A3CE6"/>
    <w:rsid w:val="004A4A1D"/>
    <w:rsid w:val="004B2C9D"/>
    <w:rsid w:val="004B4A47"/>
    <w:rsid w:val="004E667D"/>
    <w:rsid w:val="004E6AF9"/>
    <w:rsid w:val="005031DF"/>
    <w:rsid w:val="00534BAA"/>
    <w:rsid w:val="00597314"/>
    <w:rsid w:val="005A61AF"/>
    <w:rsid w:val="005D0886"/>
    <w:rsid w:val="005E384D"/>
    <w:rsid w:val="005E6176"/>
    <w:rsid w:val="005F2181"/>
    <w:rsid w:val="005F61BC"/>
    <w:rsid w:val="005F724B"/>
    <w:rsid w:val="00606705"/>
    <w:rsid w:val="00625DFF"/>
    <w:rsid w:val="0063072B"/>
    <w:rsid w:val="00662891"/>
    <w:rsid w:val="006628B7"/>
    <w:rsid w:val="00675FCB"/>
    <w:rsid w:val="006A0B87"/>
    <w:rsid w:val="006B3942"/>
    <w:rsid w:val="006B7DC6"/>
    <w:rsid w:val="006C3914"/>
    <w:rsid w:val="006C4D4C"/>
    <w:rsid w:val="006D3648"/>
    <w:rsid w:val="006D6B23"/>
    <w:rsid w:val="006F6D50"/>
    <w:rsid w:val="00717E8A"/>
    <w:rsid w:val="0074184E"/>
    <w:rsid w:val="00743829"/>
    <w:rsid w:val="00755F8D"/>
    <w:rsid w:val="007808A7"/>
    <w:rsid w:val="007855AE"/>
    <w:rsid w:val="00791A90"/>
    <w:rsid w:val="00796503"/>
    <w:rsid w:val="007B0CB6"/>
    <w:rsid w:val="007B4F2C"/>
    <w:rsid w:val="007D2BDA"/>
    <w:rsid w:val="007D56C8"/>
    <w:rsid w:val="007E3934"/>
    <w:rsid w:val="007E7303"/>
    <w:rsid w:val="008212A0"/>
    <w:rsid w:val="008306D5"/>
    <w:rsid w:val="00837F53"/>
    <w:rsid w:val="00862DDC"/>
    <w:rsid w:val="00871B32"/>
    <w:rsid w:val="008D1750"/>
    <w:rsid w:val="008D7800"/>
    <w:rsid w:val="008E2910"/>
    <w:rsid w:val="008E4913"/>
    <w:rsid w:val="00900464"/>
    <w:rsid w:val="0090100E"/>
    <w:rsid w:val="00912904"/>
    <w:rsid w:val="00922249"/>
    <w:rsid w:val="0093767E"/>
    <w:rsid w:val="00960BF7"/>
    <w:rsid w:val="00964ADC"/>
    <w:rsid w:val="00972A02"/>
    <w:rsid w:val="0099517C"/>
    <w:rsid w:val="009A0937"/>
    <w:rsid w:val="009B2ECD"/>
    <w:rsid w:val="009B7914"/>
    <w:rsid w:val="009F430B"/>
    <w:rsid w:val="00A00E2B"/>
    <w:rsid w:val="00A160B2"/>
    <w:rsid w:val="00A16271"/>
    <w:rsid w:val="00A566E7"/>
    <w:rsid w:val="00A630BF"/>
    <w:rsid w:val="00A73B25"/>
    <w:rsid w:val="00A80313"/>
    <w:rsid w:val="00A940D3"/>
    <w:rsid w:val="00A96FCA"/>
    <w:rsid w:val="00AA4BE8"/>
    <w:rsid w:val="00AB1EE3"/>
    <w:rsid w:val="00AC0AAB"/>
    <w:rsid w:val="00AC7BA9"/>
    <w:rsid w:val="00B0425E"/>
    <w:rsid w:val="00B26886"/>
    <w:rsid w:val="00B84A87"/>
    <w:rsid w:val="00B900E2"/>
    <w:rsid w:val="00B9118E"/>
    <w:rsid w:val="00B967E9"/>
    <w:rsid w:val="00BD6115"/>
    <w:rsid w:val="00BD684A"/>
    <w:rsid w:val="00C05E9C"/>
    <w:rsid w:val="00C32DAE"/>
    <w:rsid w:val="00C40E24"/>
    <w:rsid w:val="00C61B80"/>
    <w:rsid w:val="00C92D9A"/>
    <w:rsid w:val="00C96EF5"/>
    <w:rsid w:val="00D05750"/>
    <w:rsid w:val="00D25064"/>
    <w:rsid w:val="00D32B51"/>
    <w:rsid w:val="00D34668"/>
    <w:rsid w:val="00D3740E"/>
    <w:rsid w:val="00D40335"/>
    <w:rsid w:val="00D51303"/>
    <w:rsid w:val="00D56DE2"/>
    <w:rsid w:val="00D82F57"/>
    <w:rsid w:val="00D841A5"/>
    <w:rsid w:val="00D914D2"/>
    <w:rsid w:val="00DA25DB"/>
    <w:rsid w:val="00DB0791"/>
    <w:rsid w:val="00DB1C98"/>
    <w:rsid w:val="00DD4251"/>
    <w:rsid w:val="00E02B50"/>
    <w:rsid w:val="00E03F11"/>
    <w:rsid w:val="00E06DC8"/>
    <w:rsid w:val="00E16F4A"/>
    <w:rsid w:val="00E220B5"/>
    <w:rsid w:val="00E2344F"/>
    <w:rsid w:val="00E33D93"/>
    <w:rsid w:val="00E609EF"/>
    <w:rsid w:val="00E8111D"/>
    <w:rsid w:val="00E8515B"/>
    <w:rsid w:val="00E90AFF"/>
    <w:rsid w:val="00EA0AE0"/>
    <w:rsid w:val="00EC70CD"/>
    <w:rsid w:val="00EF2F91"/>
    <w:rsid w:val="00F22AA0"/>
    <w:rsid w:val="00F33EE3"/>
    <w:rsid w:val="00F4213B"/>
    <w:rsid w:val="00F44423"/>
    <w:rsid w:val="00F806B8"/>
    <w:rsid w:val="00F849ED"/>
    <w:rsid w:val="00F92398"/>
    <w:rsid w:val="00FD31A0"/>
    <w:rsid w:val="00FF2B1A"/>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remy.randall@harrow.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E626AE-FB49-42ED-A20F-99E0CCFA1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729</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Nikolova</cp:lastModifiedBy>
  <cp:revision>3</cp:revision>
  <cp:lastPrinted>2007-07-12T09:53:00Z</cp:lastPrinted>
  <dcterms:created xsi:type="dcterms:W3CDTF">2021-09-21T12:48:00Z</dcterms:created>
  <dcterms:modified xsi:type="dcterms:W3CDTF">2021-09-23T13:22:00Z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